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</w:t>
      </w:r>
      <w:r>
        <w:rPr>
          <w:b/>
        </w:rPr>
        <w:t xml:space="preserve">Załącznik nr 2 do Umowy nr ……………………... z dnia ……………….  </w:t>
      </w:r>
    </w:p>
    <w:p>
      <w:pPr>
        <w:pStyle w:val="Normal"/>
        <w:jc w:val="both"/>
        <w:rPr/>
      </w:pPr>
      <w:r>
        <w:rPr>
          <w:b/>
        </w:rPr>
        <w:t>Szczegółowy opis przedmiotu zamówienia w postępowaniu o udzielenie zamówienia publicznego dla Szpitala Specjalistycznego „INFLANCKA” im. Krysi Niżyńskiej „Zakurzonej” polegającego na codziennym specjalistycznym transporcie leków recepturowych i worków do żywienia pozajelitowego.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Transport leków recepturowych i worków do żywienia pozajelitowego odbywał będzie się codziennie (dni robocze, dni ustawowo wolne od pracy, dni świąteczne) z wyłączeniem pkt. 8 załącznika nr 1 do umowy FORMULARZ SPECYFIKACJI CENOWEJ, w przypadku którego transport będzie odbywał się tylko w dni robocze.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Usługa wykonywana pomiędzy następującymi punktami: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punkt odbioru: Apteka Szpitalna Szpitala Specjalistycznego „INFLANCKA”, ul. Inflancka 6, 00-189 Warszawa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punkty dostawy: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Centrum Medyczne „Żelazna”, ul. Żelazna 90, 01-004 Warszawa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 xml:space="preserve">Uniwersyteckie Centrum Zdrowia Kobiety i Noworodka, pl. Starynkiewicza 1/3, </w:t>
        <w:br/>
        <w:t>02-015 Warszawa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Szpital Specjalistyczny im Świętej Rodziny SP ZOZ, ul. Madalińskiego 90, 02-544 Warszawa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Szpital Bielański im. ks. J. Popiełuszki SPZOZ, ul. Cegłowska 80, 01-809 Warszawa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bCs/>
          <w:color w:val="000000"/>
        </w:rPr>
        <w:t>Samodzielny Publiczny Szpital Kliniczny im. prof. W. Orłowskiego CMKP ul. Czerniakowska 231, 00-416 Warszawa</w:t>
      </w:r>
    </w:p>
    <w:p>
      <w:pPr>
        <w:pStyle w:val="ListParagraph"/>
        <w:numPr>
          <w:ilvl w:val="1"/>
          <w:numId w:val="2"/>
        </w:numPr>
        <w:jc w:val="both"/>
        <w:rPr>
          <w:color w:val="000000"/>
        </w:rPr>
      </w:pPr>
      <w:r>
        <w:rPr>
          <w:bCs/>
          <w:color w:val="000000"/>
        </w:rPr>
        <w:t>Szpitala Medicover, Aleja Rzeczypospolitej 5, 02-972 Warszawa</w:t>
      </w:r>
    </w:p>
    <w:p>
      <w:pPr>
        <w:pStyle w:val="ListParagraph"/>
        <w:numPr>
          <w:ilvl w:val="0"/>
          <w:numId w:val="2"/>
        </w:numPr>
        <w:jc w:val="both"/>
        <w:rPr>
          <w:color w:val="CE181E"/>
        </w:rPr>
      </w:pPr>
      <w:r>
        <w:rPr>
          <w:color w:val="000000"/>
        </w:rPr>
        <w:t>W przypadku nawiązania współpracy z dodatkową jednostką, Zamawiający przewiduje rozszerzenie realizacji zamówienia o dodatkowy punkt dostawy, znajdujący się na terenie miasta st. Warszawy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color w:val="000000"/>
        </w:rPr>
        <w:t>Szczegółowe warunki transp</w:t>
      </w:r>
      <w:r>
        <w:rPr/>
        <w:t>ortu: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Pracownik Apteki Szpitalnej Zamawiającego pod numer telefonu wskazany przez Wykonawcę składa zamówienie na usługę wykonywaną bieżącego dnia (podając liczbę i nazwę punktów doręczenia).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Przesyłki wraz z dołączoną dokumentacją będą odbierane przez Wykonawcę z punktu odbioru w godz. 14:00 – 15:00, a w przypadku pkt. 8 załącznika nr 1 do umowy FORMULARZ SPECYFIKACJI CENOWEJ do godziny 12:00.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Zamawiający zastrzega możliwość nadania dodatkowych przesyłek z podaniem godziny odbioru, po uzgodnieniu z Wykonawcą.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Cały proces transportu przesyłek (od punktu odbioru do punktu dostawy) będzie wykonywany każdorazowo zgodnie z warunkami określonymi Rozporządzeniu Ministra Zdrowia z dn. 19 marca 2015 r. w sprawie wymagań Dobrej Praktyki Dystrybucyjnej (Dz. U. 2015 r. poz. 381) oraz z Ustawą z dnia 6 września 2001 r.   </w:t>
      </w:r>
      <w:r>
        <w:rPr>
          <w:bCs/>
        </w:rPr>
        <w:t>Prawem farmaceutycznym</w:t>
      </w:r>
      <w:r>
        <w:rPr/>
        <w:t xml:space="preserve"> (Dz.U. 2008, Nr 45, poz. 271 ze zmianami).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Zamawiający wydaje przesyłkę prawidłowo zapakowaną i oznakowaną nazwą punktu dostawy.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Transport przesyłek będzie odbywał się w pojemnikach własnych Wykonawcy, posiadających certyfikat jakości, gwarantujących utrzymanie temperatury 2 – 8 st. C przez cały czas trwania dostawy. Każdy z pojemników przeznaczonych do transportu będzie wyposażony w certyfikowany rejestrator temperatury, posiadający funkcję alarmu wizualnego w razie przekroczenia zadanych limitów temperatury, umożliwiający stały pomiar i archiwizację temperatury transportu pomiędzy punktem odbioru przesyłek, a każdym z punktów dostawy.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Wykonawca zapewnia: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w chwili dostarczenia, w każdym z punktów dostawy, możliwość wydruku temperatury, dokumentującego warunki transportu przesyłek od momentu odbioru z punktu odbioru do chwili dostarczenia do punktu dostawy, 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dostarczenia do Apteki Szpitalnej Zamawiającego, najpóźniej kolejnego dnia po wykonanym transporcie, wydruku zbiorczego dokumentującego warunki kompletnego transportu od momentu odbioru leków/mieszanin z punktu odbioru do wydania w ostatnim z punktów dostawy.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Niezwłocznie po przyjęciu przesyłki Wykonawca wykona transport pod wskazane punkty dostawy.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Dostarczenie przesyłki będzie każdorazowo potwierdzane na dołączonych dokumentach transportu podpisem osoby odbierającej z podaniem daty i godziny odbioru z dokładnością do jednej minuty. Dokumenty transportu oraz pojemniki własne Zamawiającego będą zwracane do punktu odbioru najpóźniej w kolejnym dniu wykonywania usługi.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Dostawa przesyłek do wskazanych punktów odbywa się w godzinach 15:00 – 17:00, a w przypadku transportu wyszczególnionego w pkt. 8 załącznika nr 1 do umowy FORMULARZA SPECYFIKACJI CENOWEJ w godzinach 12:00 – 14:00.</w:t>
      </w:r>
    </w:p>
    <w:p>
      <w:pPr>
        <w:pStyle w:val="ListParagraph"/>
        <w:numPr>
          <w:ilvl w:val="1"/>
          <w:numId w:val="1"/>
        </w:numPr>
        <w:jc w:val="both"/>
        <w:rPr/>
      </w:pPr>
      <w:bookmarkStart w:id="0" w:name="_GoBack"/>
      <w:bookmarkEnd w:id="0"/>
      <w:r>
        <w:rPr/>
        <w:t>Przesyłki będą doręczane każdorazowo do rąk własnych osoby upoważnionej w danym punkcie odbioru przesyłek, wskazanej przez Zamawiającego. Może nią być: lekarz dyżurny, pielęgniarka dyżurna w przypadku dostawy bezpośrednio na Oddział, farmaceuta – gdy punkt dostawy znajduje się w Aptece Szpitalnej lub Dziale Farmacji Szpitalnej.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Podczas doręczania przesyłki do punktu doręczenia, pracownik Wykonawcy każdorazowo będzie oczekiwał na jej rozpakowanie.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Po rozpakowaniu przesyłki pracownik Wykonawcy zabiera opakowania transportowe wraz z wkładami chłodzącymi, rejestratorami temperatury i wyposażeniem celem dalszego transportu.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Ryzyko transportu ponosi Wykonawca.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Zamawiający będzie dodatkowo obowiązkowo informować Wykonawcę o:</w:t>
        <w:tab/>
      </w:r>
    </w:p>
    <w:p>
      <w:pPr>
        <w:pStyle w:val="ListParagraph"/>
        <w:numPr>
          <w:ilvl w:val="2"/>
          <w:numId w:val="1"/>
        </w:numPr>
        <w:jc w:val="both"/>
        <w:rPr/>
      </w:pPr>
      <w:r>
        <w:rPr/>
        <w:t>odwołaniu całej dostawy lub modyfikacji liczby punktów dostawy</w:t>
      </w:r>
    </w:p>
    <w:p>
      <w:pPr>
        <w:pStyle w:val="ListParagraph"/>
        <w:numPr>
          <w:ilvl w:val="2"/>
          <w:numId w:val="1"/>
        </w:numPr>
        <w:jc w:val="both"/>
        <w:rPr/>
      </w:pPr>
      <w:r>
        <w:rPr/>
        <w:t>zmianie godziny odbioru przesyłki (najpóźniej do 13:50).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Płatność za usługę regulowana jest po otrzymaniu faktury za transporty – faktura wystawiana jednorazowo na koniec miesiąca.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32940159"/>
    </w:sdtPr>
    <w:sdtContent>
      <w:p>
        <w:pPr>
          <w:pStyle w:val="Stopka"/>
          <w:jc w:val="right"/>
          <w:rPr/>
        </w:pPr>
        <w:r>
          <w:rPr>
            <w:rFonts w:eastAsia="" w:cs="" w:cstheme="majorBidi" w:eastAsiaTheme="majorEastAsia"/>
            <w:sz w:val="20"/>
            <w:szCs w:val="28"/>
          </w:rPr>
          <w:t xml:space="preserve">str. </w:t>
        </w:r>
        <w:r>
          <w:rPr>
            <w:rFonts w:eastAsia="" w:cs="" w:cstheme="majorBidi" w:eastAsiaTheme="majorEastAsia"/>
            <w:sz w:val="20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b5e4f"/>
    <w:rPr>
      <w:rFonts w:ascii="Segoe UI" w:hAnsi="Segoe UI" w:cs="Segoe UI"/>
      <w:sz w:val="18"/>
      <w:szCs w:val="18"/>
    </w:rPr>
  </w:style>
  <w:style w:type="character" w:styleId="Wyrnienie">
    <w:name w:val="Wyróżnienie"/>
    <w:basedOn w:val="DefaultParagraphFont"/>
    <w:uiPriority w:val="20"/>
    <w:qFormat/>
    <w:rsid w:val="00456640"/>
    <w:rPr>
      <w:b/>
      <w:bCs/>
      <w:i w:val="false"/>
      <w:iCs w:val="false"/>
    </w:rPr>
  </w:style>
  <w:style w:type="character" w:styleId="St1" w:customStyle="1">
    <w:name w:val="st1"/>
    <w:basedOn w:val="DefaultParagraphFont"/>
    <w:qFormat/>
    <w:rsid w:val="00456640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e387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e3871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b6f6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b5e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7e387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e387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LibreOffice/5.4.0.3$Windows_x86 LibreOffice_project/7556cbc6811c9d992f4064ab9287069087d7f62c</Application>
  <Pages>2</Pages>
  <Words>685</Words>
  <Characters>4503</Characters>
  <CharactersWithSpaces>5208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2018-11-30T09:23:00Z</dcterms:created>
  <dc:creator>Katarzyna Kwicik</dc:creator>
  <dc:description/>
  <dc:language>pl-PL</dc:language>
  <cp:lastModifiedBy/>
  <cp:lastPrinted>2018-11-30T10:07:00Z</cp:lastPrinted>
  <dcterms:modified xsi:type="dcterms:W3CDTF">2018-12-10T13:01:47Z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